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E32" w:rsidRPr="0055357D" w:rsidRDefault="00B97E32" w:rsidP="00B97E32">
      <w:pPr>
        <w:pStyle w:val="NormalWeb"/>
        <w:shd w:val="clear" w:color="auto" w:fill="FFFFFF"/>
        <w:spacing w:before="0" w:beforeAutospacing="0" w:after="225" w:afterAutospacing="0"/>
        <w:jc w:val="center"/>
        <w:rPr>
          <w:rFonts w:asciiTheme="minorHAnsi" w:hAnsiTheme="minorHAnsi"/>
          <w:color w:val="3C4858"/>
          <w:sz w:val="36"/>
          <w:szCs w:val="36"/>
        </w:rPr>
      </w:pPr>
      <w:r w:rsidRPr="0055357D">
        <w:rPr>
          <w:rStyle w:val="lev"/>
          <w:rFonts w:asciiTheme="minorHAnsi" w:hAnsiTheme="minorHAnsi"/>
          <w:color w:val="3C4858"/>
          <w:sz w:val="36"/>
          <w:szCs w:val="36"/>
        </w:rPr>
        <w:t xml:space="preserve">Programme de Bourses </w:t>
      </w:r>
      <w:proofErr w:type="spellStart"/>
      <w:r w:rsidRPr="0055357D">
        <w:rPr>
          <w:rStyle w:val="lev"/>
          <w:rFonts w:asciiTheme="minorHAnsi" w:hAnsiTheme="minorHAnsi"/>
          <w:color w:val="3C4858"/>
          <w:sz w:val="36"/>
          <w:szCs w:val="36"/>
        </w:rPr>
        <w:t>Fulbright</w:t>
      </w:r>
      <w:proofErr w:type="spellEnd"/>
      <w:r w:rsidRPr="0055357D">
        <w:rPr>
          <w:rStyle w:val="lev"/>
          <w:rFonts w:asciiTheme="minorHAnsi" w:hAnsiTheme="minorHAnsi"/>
          <w:color w:val="3C4858"/>
          <w:sz w:val="36"/>
          <w:szCs w:val="36"/>
        </w:rPr>
        <w:t xml:space="preserve"> du gouvernement américain </w:t>
      </w:r>
      <w:r w:rsidRPr="0055357D">
        <w:rPr>
          <w:rStyle w:val="lev"/>
          <w:rFonts w:asciiTheme="minorHAnsi" w:hAnsiTheme="minorHAnsi"/>
          <w:color w:val="3C4858"/>
          <w:sz w:val="36"/>
          <w:szCs w:val="36"/>
        </w:rPr>
        <w:t>destiné aux étudiants étrangers</w:t>
      </w:r>
    </w:p>
    <w:p w:rsidR="006D1094" w:rsidRDefault="00B97E32" w:rsidP="006D1094">
      <w:pPr>
        <w:pStyle w:val="NormalWeb"/>
        <w:shd w:val="clear" w:color="auto" w:fill="FFFFFF"/>
        <w:spacing w:before="0" w:beforeAutospacing="0" w:after="0" w:afterAutospacing="0"/>
        <w:rPr>
          <w:rFonts w:asciiTheme="minorHAnsi" w:hAnsiTheme="minorHAnsi"/>
          <w:color w:val="3C4858"/>
          <w:sz w:val="28"/>
          <w:szCs w:val="28"/>
        </w:rPr>
      </w:pPr>
      <w:r w:rsidRPr="00B97E32">
        <w:rPr>
          <w:rFonts w:asciiTheme="minorHAnsi" w:hAnsiTheme="minorHAnsi"/>
          <w:color w:val="3C4858"/>
          <w:sz w:val="28"/>
          <w:szCs w:val="28"/>
        </w:rPr>
        <w:t xml:space="preserve">Chaque année le gouvernement américain attribue des bourses aux étudiants et chercheurs étrangers. Le programme de bourses </w:t>
      </w:r>
      <w:proofErr w:type="spellStart"/>
      <w:r w:rsidRPr="00B97E32">
        <w:rPr>
          <w:rFonts w:asciiTheme="minorHAnsi" w:hAnsiTheme="minorHAnsi"/>
          <w:color w:val="3C4858"/>
          <w:sz w:val="28"/>
          <w:szCs w:val="28"/>
        </w:rPr>
        <w:t>Fulbright</w:t>
      </w:r>
      <w:proofErr w:type="spellEnd"/>
      <w:r w:rsidRPr="00B97E32">
        <w:rPr>
          <w:rFonts w:asciiTheme="minorHAnsi" w:hAnsiTheme="minorHAnsi"/>
          <w:color w:val="3C4858"/>
          <w:sz w:val="28"/>
          <w:szCs w:val="28"/>
        </w:rPr>
        <w:t xml:space="preserve"> est le plus important du gouvernement américain.</w:t>
      </w:r>
    </w:p>
    <w:p w:rsidR="006D1094" w:rsidRDefault="006D1094" w:rsidP="006D1094">
      <w:pPr>
        <w:pStyle w:val="NormalWeb"/>
        <w:shd w:val="clear" w:color="auto" w:fill="FFFFFF"/>
        <w:spacing w:before="0" w:beforeAutospacing="0" w:after="0" w:afterAutospacing="0"/>
        <w:rPr>
          <w:rFonts w:asciiTheme="minorHAnsi" w:hAnsiTheme="minorHAnsi"/>
          <w:color w:val="3C4858"/>
          <w:sz w:val="28"/>
          <w:szCs w:val="28"/>
        </w:rPr>
      </w:pPr>
    </w:p>
    <w:p w:rsidR="006D1094" w:rsidRPr="006D1094" w:rsidRDefault="006D1094" w:rsidP="006D1094">
      <w:pPr>
        <w:pStyle w:val="NormalWeb"/>
        <w:numPr>
          <w:ilvl w:val="0"/>
          <w:numId w:val="1"/>
        </w:numPr>
        <w:shd w:val="clear" w:color="auto" w:fill="FFFFFF"/>
        <w:spacing w:before="0" w:beforeAutospacing="0" w:after="0" w:afterAutospacing="0"/>
        <w:rPr>
          <w:rStyle w:val="lev"/>
          <w:rFonts w:asciiTheme="minorHAnsi" w:hAnsiTheme="minorHAnsi"/>
          <w:b w:val="0"/>
          <w:bCs w:val="0"/>
          <w:color w:val="3C4858"/>
          <w:sz w:val="28"/>
          <w:szCs w:val="28"/>
        </w:rPr>
      </w:pPr>
      <w:r w:rsidRPr="00B97E32">
        <w:rPr>
          <w:rStyle w:val="lev"/>
          <w:rFonts w:asciiTheme="minorHAnsi" w:hAnsiTheme="minorHAnsi"/>
          <w:b w:val="0"/>
          <w:color w:val="3C4858"/>
          <w:sz w:val="28"/>
          <w:szCs w:val="28"/>
        </w:rPr>
        <w:t>Date limite de dépôt de candidature :</w:t>
      </w:r>
      <w:r w:rsidRPr="00B97E32">
        <w:rPr>
          <w:rFonts w:asciiTheme="minorHAnsi" w:hAnsiTheme="minorHAnsi"/>
          <w:color w:val="3C4858"/>
          <w:sz w:val="28"/>
          <w:szCs w:val="28"/>
        </w:rPr>
        <w:t> </w:t>
      </w:r>
      <w:r w:rsidR="004F7662">
        <w:rPr>
          <w:rFonts w:asciiTheme="minorHAnsi" w:hAnsiTheme="minorHAnsi"/>
          <w:color w:val="3C4858"/>
          <w:sz w:val="28"/>
          <w:szCs w:val="28"/>
        </w:rPr>
        <w:t>VOIR SITE</w:t>
      </w:r>
      <w:r w:rsidRPr="00B97E32">
        <w:rPr>
          <w:rStyle w:val="lev"/>
          <w:rFonts w:asciiTheme="minorHAnsi" w:hAnsiTheme="minorHAnsi"/>
          <w:b w:val="0"/>
          <w:color w:val="3C4858"/>
          <w:sz w:val="28"/>
          <w:szCs w:val="28"/>
        </w:rPr>
        <w:t xml:space="preserve"> </w:t>
      </w:r>
    </w:p>
    <w:p w:rsidR="006D1094" w:rsidRDefault="00B97E32" w:rsidP="006D1094">
      <w:pPr>
        <w:pStyle w:val="NormalWeb"/>
        <w:numPr>
          <w:ilvl w:val="0"/>
          <w:numId w:val="1"/>
        </w:numPr>
        <w:shd w:val="clear" w:color="auto" w:fill="FFFFFF"/>
        <w:spacing w:before="0" w:beforeAutospacing="0" w:after="0" w:afterAutospacing="0"/>
        <w:rPr>
          <w:rFonts w:asciiTheme="minorHAnsi" w:hAnsiTheme="minorHAnsi"/>
          <w:color w:val="3C4858"/>
          <w:sz w:val="28"/>
          <w:szCs w:val="28"/>
        </w:rPr>
      </w:pPr>
      <w:r w:rsidRPr="00B97E32">
        <w:rPr>
          <w:rStyle w:val="lev"/>
          <w:rFonts w:asciiTheme="minorHAnsi" w:hAnsiTheme="minorHAnsi"/>
          <w:b w:val="0"/>
          <w:color w:val="3C4858"/>
          <w:sz w:val="28"/>
          <w:szCs w:val="28"/>
        </w:rPr>
        <w:t>Durée de la bourse :</w:t>
      </w:r>
      <w:r w:rsidRPr="00B97E32">
        <w:rPr>
          <w:rFonts w:asciiTheme="minorHAnsi" w:hAnsiTheme="minorHAnsi"/>
          <w:color w:val="3C4858"/>
          <w:sz w:val="28"/>
          <w:szCs w:val="28"/>
        </w:rPr>
        <w:t xml:space="preserve"> Une année académique (9 à 10 mois) </w:t>
      </w:r>
      <w:proofErr w:type="gramStart"/>
      <w:r w:rsidRPr="00B97E32">
        <w:rPr>
          <w:rFonts w:asciiTheme="minorHAnsi" w:hAnsiTheme="minorHAnsi"/>
          <w:color w:val="3C4858"/>
          <w:sz w:val="28"/>
          <w:szCs w:val="28"/>
        </w:rPr>
        <w:t>–(</w:t>
      </w:r>
      <w:proofErr w:type="gramEnd"/>
      <w:r w:rsidRPr="00B97E32">
        <w:rPr>
          <w:rFonts w:asciiTheme="minorHAnsi" w:hAnsiTheme="minorHAnsi"/>
          <w:color w:val="3C4858"/>
          <w:sz w:val="28"/>
          <w:szCs w:val="28"/>
        </w:rPr>
        <w:t>bourse non-renouvelable)</w:t>
      </w:r>
      <w:r w:rsidR="006D1094">
        <w:rPr>
          <w:rFonts w:asciiTheme="minorHAnsi" w:hAnsiTheme="minorHAnsi"/>
          <w:color w:val="3C4858"/>
          <w:sz w:val="28"/>
          <w:szCs w:val="28"/>
        </w:rPr>
        <w:t>.</w:t>
      </w:r>
    </w:p>
    <w:p w:rsidR="006D1094" w:rsidRDefault="00B97E32" w:rsidP="006D1094">
      <w:pPr>
        <w:pStyle w:val="NormalWeb"/>
        <w:numPr>
          <w:ilvl w:val="0"/>
          <w:numId w:val="1"/>
        </w:numPr>
        <w:shd w:val="clear" w:color="auto" w:fill="FFFFFF"/>
        <w:spacing w:before="0" w:beforeAutospacing="0" w:after="0" w:afterAutospacing="0"/>
        <w:rPr>
          <w:rFonts w:asciiTheme="minorHAnsi" w:hAnsiTheme="minorHAnsi"/>
          <w:color w:val="3C4858"/>
          <w:sz w:val="28"/>
          <w:szCs w:val="28"/>
        </w:rPr>
      </w:pPr>
      <w:r w:rsidRPr="00B97E32">
        <w:rPr>
          <w:rStyle w:val="lev"/>
          <w:rFonts w:asciiTheme="minorHAnsi" w:hAnsiTheme="minorHAnsi"/>
          <w:b w:val="0"/>
          <w:color w:val="3C4858"/>
          <w:sz w:val="28"/>
          <w:szCs w:val="28"/>
        </w:rPr>
        <w:t>Niveaux :</w:t>
      </w:r>
      <w:r w:rsidRPr="00B97E32">
        <w:rPr>
          <w:rFonts w:asciiTheme="minorHAnsi" w:hAnsiTheme="minorHAnsi"/>
          <w:color w:val="3C4858"/>
          <w:sz w:val="28"/>
          <w:szCs w:val="28"/>
        </w:rPr>
        <w:t xml:space="preserve"> Master et </w:t>
      </w:r>
      <w:proofErr w:type="spellStart"/>
      <w:r w:rsidRPr="00B97E32">
        <w:rPr>
          <w:rFonts w:asciiTheme="minorHAnsi" w:hAnsiTheme="minorHAnsi"/>
          <w:color w:val="3C4858"/>
          <w:sz w:val="28"/>
          <w:szCs w:val="28"/>
        </w:rPr>
        <w:t>PhD</w:t>
      </w:r>
      <w:proofErr w:type="spellEnd"/>
    </w:p>
    <w:p w:rsidR="006D1094" w:rsidRDefault="00B97E32" w:rsidP="006D1094">
      <w:pPr>
        <w:pStyle w:val="NormalWeb"/>
        <w:numPr>
          <w:ilvl w:val="0"/>
          <w:numId w:val="1"/>
        </w:numPr>
        <w:shd w:val="clear" w:color="auto" w:fill="FFFFFF"/>
        <w:spacing w:before="0" w:beforeAutospacing="0" w:after="0" w:afterAutospacing="0"/>
        <w:rPr>
          <w:rFonts w:asciiTheme="minorHAnsi" w:hAnsiTheme="minorHAnsi"/>
          <w:color w:val="3C4858"/>
          <w:sz w:val="28"/>
          <w:szCs w:val="28"/>
        </w:rPr>
      </w:pPr>
      <w:r w:rsidRPr="00B97E32">
        <w:rPr>
          <w:rStyle w:val="lev"/>
          <w:rFonts w:asciiTheme="minorHAnsi" w:hAnsiTheme="minorHAnsi"/>
          <w:b w:val="0"/>
          <w:color w:val="3C4858"/>
          <w:sz w:val="28"/>
          <w:szCs w:val="28"/>
        </w:rPr>
        <w:t>Disciplines :</w:t>
      </w:r>
      <w:r w:rsidRPr="00B97E32">
        <w:rPr>
          <w:rFonts w:asciiTheme="minorHAnsi" w:hAnsiTheme="minorHAnsi"/>
          <w:color w:val="3C4858"/>
          <w:sz w:val="28"/>
          <w:szCs w:val="28"/>
        </w:rPr>
        <w:t> Tous domaines</w:t>
      </w:r>
    </w:p>
    <w:p w:rsidR="00B97E32" w:rsidRPr="00B97E32" w:rsidRDefault="00B97E32" w:rsidP="006D1094">
      <w:pPr>
        <w:pStyle w:val="NormalWeb"/>
        <w:numPr>
          <w:ilvl w:val="0"/>
          <w:numId w:val="1"/>
        </w:numPr>
        <w:shd w:val="clear" w:color="auto" w:fill="FFFFFF"/>
        <w:spacing w:before="0" w:beforeAutospacing="0" w:after="0" w:afterAutospacing="0"/>
        <w:rPr>
          <w:rFonts w:asciiTheme="minorHAnsi" w:hAnsiTheme="minorHAnsi"/>
          <w:color w:val="3C4858"/>
          <w:sz w:val="28"/>
          <w:szCs w:val="28"/>
        </w:rPr>
      </w:pPr>
      <w:r w:rsidRPr="00B97E32">
        <w:rPr>
          <w:rStyle w:val="lev"/>
          <w:rFonts w:asciiTheme="minorHAnsi" w:hAnsiTheme="minorHAnsi"/>
          <w:b w:val="0"/>
          <w:color w:val="3C4858"/>
          <w:sz w:val="28"/>
          <w:szCs w:val="28"/>
        </w:rPr>
        <w:t>Montant :</w:t>
      </w:r>
      <w:r w:rsidRPr="00B97E32">
        <w:rPr>
          <w:rFonts w:asciiTheme="minorHAnsi" w:hAnsiTheme="minorHAnsi"/>
          <w:color w:val="3C4858"/>
          <w:sz w:val="28"/>
          <w:szCs w:val="28"/>
        </w:rPr>
        <w:t> de $6 000 à $45 000 en fonction des fondations partenaires et des cumuls auxquels vous êtes éligible</w:t>
      </w:r>
    </w:p>
    <w:p w:rsidR="00B97E32" w:rsidRPr="00B97E32" w:rsidRDefault="00B97E32" w:rsidP="00B97E32">
      <w:pPr>
        <w:pStyle w:val="NormalWeb"/>
        <w:shd w:val="clear" w:color="auto" w:fill="FFFFFF"/>
        <w:spacing w:before="0" w:beforeAutospacing="0" w:after="225" w:afterAutospacing="0"/>
        <w:jc w:val="both"/>
        <w:rPr>
          <w:rFonts w:asciiTheme="minorHAnsi" w:hAnsiTheme="minorHAnsi"/>
          <w:color w:val="3C4858"/>
          <w:sz w:val="28"/>
          <w:szCs w:val="28"/>
        </w:rPr>
      </w:pPr>
      <w:r w:rsidRPr="00B97E32">
        <w:rPr>
          <w:rFonts w:asciiTheme="minorHAnsi" w:hAnsiTheme="minorHAnsi"/>
          <w:color w:val="3C4858"/>
          <w:sz w:val="28"/>
          <w:szCs w:val="28"/>
        </w:rPr>
        <w:t>La demande de bourse doit se faire en parallèle des démarches de demande d’admission auprès des universités américaines : les bourses sont attribuées sous réserve d’admission définitive dans les universités indiquées dans le dossier.</w:t>
      </w:r>
    </w:p>
    <w:p w:rsidR="00B97E32" w:rsidRPr="00B97E32" w:rsidRDefault="00B97E32" w:rsidP="00B97E32">
      <w:pPr>
        <w:pStyle w:val="NormalWeb"/>
        <w:shd w:val="clear" w:color="auto" w:fill="FFFFFF"/>
        <w:spacing w:before="0" w:beforeAutospacing="0" w:after="225" w:afterAutospacing="0"/>
        <w:jc w:val="both"/>
        <w:rPr>
          <w:rFonts w:asciiTheme="minorHAnsi" w:hAnsiTheme="minorHAnsi"/>
          <w:color w:val="3C4858"/>
          <w:sz w:val="28"/>
          <w:szCs w:val="28"/>
        </w:rPr>
      </w:pPr>
      <w:r w:rsidRPr="00B97E32">
        <w:rPr>
          <w:rFonts w:asciiTheme="minorHAnsi" w:hAnsiTheme="minorHAnsi"/>
          <w:color w:val="3C4858"/>
          <w:sz w:val="28"/>
          <w:szCs w:val="28"/>
        </w:rPr>
        <w:t>Les candidats sont responsables de leur propre admission dans les universités américaines de leur choix.</w:t>
      </w:r>
    </w:p>
    <w:p w:rsidR="00B97E32" w:rsidRPr="00B97E32" w:rsidRDefault="00B97E32" w:rsidP="00B97E32">
      <w:pPr>
        <w:pStyle w:val="NormalWeb"/>
        <w:shd w:val="clear" w:color="auto" w:fill="FFFFFF"/>
        <w:spacing w:before="0" w:beforeAutospacing="0" w:after="225" w:afterAutospacing="0"/>
        <w:jc w:val="both"/>
        <w:rPr>
          <w:rFonts w:asciiTheme="minorHAnsi" w:hAnsiTheme="minorHAnsi"/>
          <w:color w:val="3C4858"/>
          <w:sz w:val="28"/>
          <w:szCs w:val="28"/>
        </w:rPr>
      </w:pPr>
      <w:r w:rsidRPr="00B97E32">
        <w:rPr>
          <w:rFonts w:asciiTheme="minorHAnsi" w:hAnsiTheme="minorHAnsi"/>
          <w:color w:val="3C4858"/>
          <w:sz w:val="28"/>
          <w:szCs w:val="28"/>
        </w:rPr>
        <w:t xml:space="preserve">Lors de votre demande d’admission, demandez à votre université de vous fournir les formulaires de bourses </w:t>
      </w:r>
      <w:proofErr w:type="spellStart"/>
      <w:r w:rsidRPr="00B97E32">
        <w:rPr>
          <w:rFonts w:asciiTheme="minorHAnsi" w:hAnsiTheme="minorHAnsi"/>
          <w:color w:val="3C4858"/>
          <w:sz w:val="28"/>
          <w:szCs w:val="28"/>
        </w:rPr>
        <w:t>Fulbright</w:t>
      </w:r>
      <w:proofErr w:type="spellEnd"/>
      <w:r w:rsidRPr="00B97E32">
        <w:rPr>
          <w:rFonts w:asciiTheme="minorHAnsi" w:hAnsiTheme="minorHAnsi"/>
          <w:color w:val="3C4858"/>
          <w:sz w:val="28"/>
          <w:szCs w:val="28"/>
        </w:rPr>
        <w:t>. </w:t>
      </w:r>
      <w:r w:rsidRPr="00B97E32">
        <w:rPr>
          <w:rStyle w:val="lev"/>
          <w:rFonts w:asciiTheme="minorHAnsi" w:hAnsiTheme="minorHAnsi"/>
          <w:b w:val="0"/>
          <w:color w:val="3C4858"/>
          <w:sz w:val="28"/>
          <w:szCs w:val="28"/>
        </w:rPr>
        <w:t>Le modèle de demande de bourses en anglais est disponible dans votre compte. </w:t>
      </w:r>
      <w:hyperlink r:id="rId5" w:history="1">
        <w:r w:rsidRPr="00B97E32">
          <w:rPr>
            <w:rStyle w:val="Lienhypertexte"/>
            <w:rFonts w:asciiTheme="minorHAnsi" w:hAnsiTheme="minorHAnsi"/>
            <w:bCs/>
            <w:color w:val="1D21E5"/>
            <w:sz w:val="28"/>
            <w:szCs w:val="28"/>
            <w:u w:val="none"/>
          </w:rPr>
          <w:t>Cliquez-ici pour vous connecter</w:t>
        </w:r>
      </w:hyperlink>
      <w:r w:rsidRPr="00B97E32">
        <w:rPr>
          <w:rStyle w:val="lev"/>
          <w:rFonts w:asciiTheme="minorHAnsi" w:hAnsiTheme="minorHAnsi"/>
          <w:b w:val="0"/>
          <w:color w:val="3C4858"/>
          <w:sz w:val="28"/>
          <w:szCs w:val="28"/>
        </w:rPr>
        <w:t>.</w:t>
      </w:r>
    </w:p>
    <w:p w:rsidR="006D1094" w:rsidRDefault="006D1094">
      <w:pPr>
        <w:rPr>
          <w:sz w:val="28"/>
          <w:szCs w:val="28"/>
        </w:rPr>
      </w:pPr>
      <w:r>
        <w:rPr>
          <w:sz w:val="28"/>
          <w:szCs w:val="28"/>
        </w:rPr>
        <w:br w:type="page"/>
      </w:r>
      <w:bookmarkStart w:id="0" w:name="_GoBack"/>
      <w:bookmarkEnd w:id="0"/>
    </w:p>
    <w:p w:rsidR="0055357D" w:rsidRDefault="006D1094" w:rsidP="0055357D">
      <w:pPr>
        <w:shd w:val="clear" w:color="auto" w:fill="EFEFEF"/>
        <w:spacing w:after="0" w:line="312" w:lineRule="atLeast"/>
        <w:jc w:val="center"/>
        <w:textAlignment w:val="baseline"/>
        <w:outlineLvl w:val="0"/>
        <w:rPr>
          <w:rFonts w:eastAsia="Times New Roman" w:cs="Times New Roman"/>
          <w:b/>
          <w:color w:val="333333"/>
          <w:kern w:val="36"/>
          <w:sz w:val="36"/>
          <w:szCs w:val="36"/>
          <w:lang w:eastAsia="fr-FR"/>
        </w:rPr>
      </w:pPr>
      <w:r w:rsidRPr="006D1094">
        <w:rPr>
          <w:rFonts w:eastAsia="Times New Roman" w:cs="Times New Roman"/>
          <w:b/>
          <w:color w:val="333333"/>
          <w:kern w:val="36"/>
          <w:sz w:val="36"/>
          <w:szCs w:val="36"/>
          <w:lang w:eastAsia="fr-FR"/>
        </w:rPr>
        <w:lastRenderedPageBreak/>
        <w:t>Postulez Maintenant aux Programmes:</w:t>
      </w:r>
      <w:r w:rsidR="0055357D">
        <w:rPr>
          <w:rFonts w:eastAsia="Times New Roman" w:cs="Times New Roman"/>
          <w:b/>
          <w:color w:val="333333"/>
          <w:kern w:val="36"/>
          <w:sz w:val="36"/>
          <w:szCs w:val="36"/>
          <w:lang w:eastAsia="fr-FR"/>
        </w:rPr>
        <w:t xml:space="preserve"> </w:t>
      </w:r>
      <w:proofErr w:type="spellStart"/>
      <w:r w:rsidR="0055357D">
        <w:rPr>
          <w:rFonts w:eastAsia="Times New Roman" w:cs="Times New Roman"/>
          <w:b/>
          <w:color w:val="333333"/>
          <w:kern w:val="36"/>
          <w:sz w:val="36"/>
          <w:szCs w:val="36"/>
          <w:lang w:eastAsia="fr-FR"/>
        </w:rPr>
        <w:t>Fulbright</w:t>
      </w:r>
      <w:proofErr w:type="spellEnd"/>
      <w:r w:rsidR="0055357D">
        <w:rPr>
          <w:rFonts w:eastAsia="Times New Roman" w:cs="Times New Roman"/>
          <w:b/>
          <w:color w:val="333333"/>
          <w:kern w:val="36"/>
          <w:sz w:val="36"/>
          <w:szCs w:val="36"/>
          <w:lang w:eastAsia="fr-FR"/>
        </w:rPr>
        <w:t xml:space="preserve"> </w:t>
      </w:r>
    </w:p>
    <w:p w:rsidR="006D1094" w:rsidRPr="006D1094" w:rsidRDefault="0055357D" w:rsidP="0055357D">
      <w:pPr>
        <w:shd w:val="clear" w:color="auto" w:fill="EFEFEF"/>
        <w:spacing w:after="0" w:line="312" w:lineRule="atLeast"/>
        <w:jc w:val="center"/>
        <w:textAlignment w:val="baseline"/>
        <w:outlineLvl w:val="0"/>
        <w:rPr>
          <w:rFonts w:eastAsia="Times New Roman" w:cs="Times New Roman"/>
          <w:b/>
          <w:color w:val="333333"/>
          <w:kern w:val="36"/>
          <w:sz w:val="36"/>
          <w:szCs w:val="36"/>
          <w:lang w:eastAsia="fr-FR"/>
        </w:rPr>
      </w:pPr>
      <w:r>
        <w:rPr>
          <w:rFonts w:eastAsia="Times New Roman" w:cs="Times New Roman"/>
          <w:b/>
          <w:color w:val="333333"/>
          <w:kern w:val="36"/>
          <w:sz w:val="36"/>
          <w:szCs w:val="36"/>
          <w:lang w:eastAsia="fr-FR"/>
        </w:rPr>
        <w:t>(</w:t>
      </w:r>
      <w:proofErr w:type="gramStart"/>
      <w:r>
        <w:rPr>
          <w:rFonts w:eastAsia="Times New Roman" w:cs="Times New Roman"/>
          <w:b/>
          <w:color w:val="333333"/>
          <w:kern w:val="36"/>
          <w:sz w:val="36"/>
          <w:szCs w:val="36"/>
          <w:lang w:eastAsia="fr-FR"/>
        </w:rPr>
        <w:t>p</w:t>
      </w:r>
      <w:r w:rsidR="006D1094" w:rsidRPr="006D1094">
        <w:rPr>
          <w:rFonts w:eastAsia="Times New Roman" w:cs="Times New Roman"/>
          <w:b/>
          <w:color w:val="333333"/>
          <w:kern w:val="36"/>
          <w:sz w:val="36"/>
          <w:szCs w:val="36"/>
          <w:lang w:eastAsia="fr-FR"/>
        </w:rPr>
        <w:t>our</w:t>
      </w:r>
      <w:proofErr w:type="gramEnd"/>
      <w:r w:rsidR="006D1094" w:rsidRPr="006D1094">
        <w:rPr>
          <w:rFonts w:eastAsia="Times New Roman" w:cs="Times New Roman"/>
          <w:b/>
          <w:color w:val="333333"/>
          <w:kern w:val="36"/>
          <w:sz w:val="36"/>
          <w:szCs w:val="36"/>
          <w:lang w:eastAsia="fr-FR"/>
        </w:rPr>
        <w:t xml:space="preserve"> les Etudiants/Professeurs) et Humphrey 2020-2021</w:t>
      </w:r>
    </w:p>
    <w:p w:rsidR="00EF4B2E" w:rsidRDefault="00EF4B2E">
      <w:pPr>
        <w:rPr>
          <w:sz w:val="28"/>
          <w:szCs w:val="28"/>
        </w:rPr>
      </w:pPr>
    </w:p>
    <w:p w:rsidR="006D1094" w:rsidRPr="006D1094" w:rsidRDefault="006D1094" w:rsidP="006D1094">
      <w:pPr>
        <w:pStyle w:val="NormalWeb"/>
        <w:shd w:val="clear" w:color="auto" w:fill="FFFFFF"/>
        <w:spacing w:before="0" w:beforeAutospacing="0" w:after="0" w:afterAutospacing="0"/>
        <w:textAlignment w:val="baseline"/>
        <w:rPr>
          <w:rFonts w:asciiTheme="minorHAnsi" w:hAnsiTheme="minorHAnsi"/>
          <w:color w:val="333333"/>
          <w:sz w:val="28"/>
        </w:rPr>
      </w:pPr>
      <w:r w:rsidRPr="006D1094">
        <w:rPr>
          <w:rStyle w:val="lev"/>
          <w:rFonts w:asciiTheme="minorHAnsi" w:hAnsiTheme="minorHAnsi" w:cs="Arial"/>
          <w:color w:val="333333"/>
          <w:sz w:val="28"/>
          <w:bdr w:val="none" w:sz="0" w:space="0" w:color="auto" w:frame="1"/>
        </w:rPr>
        <w:t>L’Ambassade des États-Unis au Mali a le plaisir de porter à la connaissance des personnes intéressées, l’ouverture des candidatures, au titre de l’année académique 2021-2022, pour les programmes de bourses suivants :</w:t>
      </w:r>
    </w:p>
    <w:p w:rsidR="006D1094" w:rsidRDefault="006D1094" w:rsidP="006D1094">
      <w:pPr>
        <w:pStyle w:val="NormalWeb"/>
        <w:shd w:val="clear" w:color="auto" w:fill="FFFFFF"/>
        <w:spacing w:before="0" w:beforeAutospacing="0" w:after="0" w:afterAutospacing="0"/>
        <w:textAlignment w:val="baseline"/>
        <w:rPr>
          <w:rFonts w:asciiTheme="minorHAnsi" w:hAnsiTheme="minorHAnsi"/>
          <w:color w:val="333333"/>
          <w:sz w:val="28"/>
        </w:rPr>
      </w:pPr>
      <w:r w:rsidRPr="006D1094">
        <w:rPr>
          <w:rStyle w:val="lev"/>
          <w:rFonts w:asciiTheme="minorHAnsi" w:hAnsiTheme="minorHAnsi"/>
          <w:color w:val="333333"/>
          <w:sz w:val="28"/>
          <w:bdr w:val="none" w:sz="0" w:space="0" w:color="auto" w:frame="1"/>
        </w:rPr>
        <w:t>Le</w:t>
      </w:r>
      <w:r>
        <w:rPr>
          <w:rStyle w:val="lev"/>
          <w:rFonts w:asciiTheme="minorHAnsi" w:hAnsiTheme="minorHAnsi"/>
          <w:color w:val="333333"/>
          <w:sz w:val="28"/>
          <w:bdr w:val="none" w:sz="0" w:space="0" w:color="auto" w:frame="1"/>
        </w:rPr>
        <w:t xml:space="preserve"> programme de Bourse </w:t>
      </w:r>
      <w:proofErr w:type="spellStart"/>
      <w:r>
        <w:rPr>
          <w:rStyle w:val="lev"/>
          <w:rFonts w:asciiTheme="minorHAnsi" w:hAnsiTheme="minorHAnsi"/>
          <w:color w:val="333333"/>
          <w:sz w:val="28"/>
          <w:bdr w:val="none" w:sz="0" w:space="0" w:color="auto" w:frame="1"/>
        </w:rPr>
        <w:t>Fulbright</w:t>
      </w:r>
      <w:proofErr w:type="spellEnd"/>
      <w:r>
        <w:rPr>
          <w:rStyle w:val="lev"/>
          <w:rFonts w:asciiTheme="minorHAnsi" w:hAnsiTheme="minorHAnsi"/>
          <w:color w:val="333333"/>
          <w:sz w:val="28"/>
          <w:bdr w:val="none" w:sz="0" w:space="0" w:color="auto" w:frame="1"/>
        </w:rPr>
        <w:t xml:space="preserve"> p</w:t>
      </w:r>
      <w:r w:rsidRPr="006D1094">
        <w:rPr>
          <w:rStyle w:val="lev"/>
          <w:rFonts w:asciiTheme="minorHAnsi" w:hAnsiTheme="minorHAnsi"/>
          <w:color w:val="333333"/>
          <w:sz w:val="28"/>
          <w:bdr w:val="none" w:sz="0" w:space="0" w:color="auto" w:frame="1"/>
        </w:rPr>
        <w:t>our les Etudiants Etrangers: </w:t>
      </w:r>
      <w:r w:rsidRPr="006D1094">
        <w:rPr>
          <w:rFonts w:asciiTheme="minorHAnsi" w:hAnsiTheme="minorHAnsi"/>
          <w:color w:val="333333"/>
          <w:sz w:val="28"/>
        </w:rPr>
        <w:t xml:space="preserve">Ce programme finance deux années d’études supérieures aux Etats-Unis pour l’obtention d’un Master. Les candidats doivent avoir la maîtrise ou un diplôme équivalent au </w:t>
      </w:r>
      <w:proofErr w:type="spellStart"/>
      <w:r w:rsidRPr="006D1094">
        <w:rPr>
          <w:rFonts w:asciiTheme="minorHAnsi" w:hAnsiTheme="minorHAnsi"/>
          <w:color w:val="333333"/>
          <w:sz w:val="28"/>
        </w:rPr>
        <w:t>Bachelor</w:t>
      </w:r>
      <w:proofErr w:type="spellEnd"/>
      <w:r w:rsidRPr="006D1094">
        <w:rPr>
          <w:rFonts w:asciiTheme="minorHAnsi" w:hAnsiTheme="minorHAnsi"/>
          <w:color w:val="333333"/>
          <w:sz w:val="28"/>
        </w:rPr>
        <w:t xml:space="preserve"> Américain et un score de TOEFL équivalent ou supérieur à 575 (PBT) ou 90 (</w:t>
      </w:r>
      <w:proofErr w:type="spellStart"/>
      <w:r w:rsidRPr="006D1094">
        <w:rPr>
          <w:rFonts w:asciiTheme="minorHAnsi" w:hAnsiTheme="minorHAnsi"/>
          <w:color w:val="333333"/>
          <w:sz w:val="28"/>
        </w:rPr>
        <w:t>iBT</w:t>
      </w:r>
      <w:proofErr w:type="spellEnd"/>
      <w:r w:rsidRPr="006D1094">
        <w:rPr>
          <w:rFonts w:asciiTheme="minorHAnsi" w:hAnsiTheme="minorHAnsi"/>
          <w:color w:val="333333"/>
          <w:sz w:val="28"/>
        </w:rPr>
        <w:t xml:space="preserve">) points. Ils doivent aussi faire et avoir le score requis au GRE et/ou au GMAT.  Pour les candidats défavorisés, ce programme prévoit un volet de formation en Anglais qui pourrait s’étendre jusqu’à huit mois avant le programme académique proprement dit. Pour les besoins de la présélection, les candidats peuvent soumettre un score du test ALIGU à la place du TOEFL. </w:t>
      </w:r>
    </w:p>
    <w:p w:rsidR="006D1094" w:rsidRDefault="006D1094" w:rsidP="006D1094">
      <w:pPr>
        <w:pStyle w:val="NormalWeb"/>
        <w:shd w:val="clear" w:color="auto" w:fill="FFFFFF"/>
        <w:spacing w:before="0" w:beforeAutospacing="0" w:after="0" w:afterAutospacing="0"/>
        <w:textAlignment w:val="baseline"/>
        <w:rPr>
          <w:rFonts w:asciiTheme="minorHAnsi" w:hAnsiTheme="minorHAnsi"/>
          <w:color w:val="333333"/>
          <w:sz w:val="28"/>
        </w:rPr>
      </w:pPr>
    </w:p>
    <w:p w:rsidR="006D1094" w:rsidRDefault="006D1094" w:rsidP="006D1094">
      <w:pPr>
        <w:pStyle w:val="NormalWeb"/>
        <w:shd w:val="clear" w:color="auto" w:fill="FFFFFF"/>
        <w:spacing w:before="0" w:beforeAutospacing="0" w:after="0" w:afterAutospacing="0"/>
        <w:textAlignment w:val="baseline"/>
        <w:rPr>
          <w:rFonts w:asciiTheme="minorHAnsi" w:hAnsiTheme="minorHAnsi"/>
          <w:color w:val="333333"/>
          <w:sz w:val="28"/>
        </w:rPr>
      </w:pPr>
      <w:r w:rsidRPr="006D1094">
        <w:rPr>
          <w:rFonts w:asciiTheme="minorHAnsi" w:hAnsiTheme="minorHAnsi"/>
          <w:color w:val="333333"/>
          <w:sz w:val="28"/>
        </w:rPr>
        <w:t>Pour plus d’infos, veuillez voir </w:t>
      </w:r>
      <w:hyperlink r:id="rId6" w:history="1">
        <w:r w:rsidRPr="006D1094">
          <w:rPr>
            <w:rStyle w:val="Lienhypertexte"/>
            <w:rFonts w:asciiTheme="minorHAnsi" w:hAnsiTheme="minorHAnsi"/>
            <w:color w:val="5D759B"/>
            <w:sz w:val="28"/>
            <w:bdr w:val="none" w:sz="0" w:space="0" w:color="auto" w:frame="1"/>
          </w:rPr>
          <w:t>les critères de sélection</w:t>
        </w:r>
      </w:hyperlink>
      <w:r w:rsidRPr="006D1094">
        <w:rPr>
          <w:rFonts w:asciiTheme="minorHAnsi" w:hAnsiTheme="minorHAnsi"/>
          <w:color w:val="333333"/>
          <w:sz w:val="28"/>
        </w:rPr>
        <w:t>. La soumission de candidatures sera en ligne, vous pourriez postuler à </w:t>
      </w:r>
      <w:hyperlink r:id="rId7" w:history="1">
        <w:r w:rsidRPr="006D1094">
          <w:rPr>
            <w:rStyle w:val="Lienhypertexte"/>
            <w:rFonts w:asciiTheme="minorHAnsi" w:hAnsiTheme="minorHAnsi"/>
            <w:color w:val="5D759B"/>
            <w:sz w:val="28"/>
            <w:bdr w:val="none" w:sz="0" w:space="0" w:color="auto" w:frame="1"/>
          </w:rPr>
          <w:t>https://apply.iie.org/ffsp2021</w:t>
        </w:r>
      </w:hyperlink>
    </w:p>
    <w:p w:rsidR="006D1094" w:rsidRPr="006D1094" w:rsidRDefault="006D1094" w:rsidP="006D1094">
      <w:pPr>
        <w:pStyle w:val="NormalWeb"/>
        <w:shd w:val="clear" w:color="auto" w:fill="FFFFFF"/>
        <w:spacing w:before="0" w:beforeAutospacing="0" w:after="0" w:afterAutospacing="0"/>
        <w:textAlignment w:val="baseline"/>
        <w:rPr>
          <w:rFonts w:asciiTheme="minorHAnsi" w:hAnsiTheme="minorHAnsi"/>
          <w:color w:val="333333"/>
          <w:sz w:val="28"/>
        </w:rPr>
      </w:pPr>
    </w:p>
    <w:p w:rsidR="006D1094" w:rsidRPr="006D1094" w:rsidRDefault="006D1094" w:rsidP="006D1094">
      <w:pPr>
        <w:pStyle w:val="NormalWeb"/>
        <w:shd w:val="clear" w:color="auto" w:fill="FFFFFF"/>
        <w:spacing w:before="0" w:beforeAutospacing="0" w:after="0" w:afterAutospacing="0"/>
        <w:textAlignment w:val="baseline"/>
        <w:rPr>
          <w:rFonts w:asciiTheme="minorHAnsi" w:hAnsiTheme="minorHAnsi"/>
          <w:color w:val="333333"/>
          <w:sz w:val="28"/>
        </w:rPr>
      </w:pPr>
      <w:r w:rsidRPr="006D1094">
        <w:rPr>
          <w:rStyle w:val="lev"/>
          <w:rFonts w:asciiTheme="minorHAnsi" w:hAnsiTheme="minorHAnsi"/>
          <w:color w:val="333333"/>
          <w:sz w:val="28"/>
          <w:bdr w:val="none" w:sz="0" w:space="0" w:color="auto" w:frame="1"/>
        </w:rPr>
        <w:t>La date limite de dépôt des candidatures est fixée au 31 mars 2020.</w:t>
      </w:r>
    </w:p>
    <w:p w:rsidR="006D1094" w:rsidRPr="006D1094" w:rsidRDefault="006D1094" w:rsidP="006D1094">
      <w:pPr>
        <w:pStyle w:val="byline"/>
        <w:pBdr>
          <w:top w:val="single" w:sz="6" w:space="11" w:color="DDDDDD"/>
          <w:bottom w:val="single" w:sz="6" w:space="11" w:color="DDDDDD"/>
        </w:pBdr>
        <w:shd w:val="clear" w:color="auto" w:fill="FFFFFF"/>
        <w:spacing w:before="0" w:beforeAutospacing="0" w:after="0" w:afterAutospacing="0"/>
        <w:textAlignment w:val="baseline"/>
        <w:rPr>
          <w:rFonts w:asciiTheme="minorHAnsi" w:hAnsiTheme="minorHAnsi"/>
          <w:color w:val="333333"/>
          <w:sz w:val="28"/>
        </w:rPr>
      </w:pPr>
      <w:r w:rsidRPr="006D1094">
        <w:rPr>
          <w:rFonts w:asciiTheme="minorHAnsi" w:hAnsiTheme="minorHAnsi"/>
          <w:color w:val="333333"/>
          <w:sz w:val="28"/>
        </w:rPr>
        <w:t>Par </w:t>
      </w:r>
      <w:hyperlink r:id="rId8" w:history="1">
        <w:r w:rsidRPr="006D1094">
          <w:rPr>
            <w:rStyle w:val="Lienhypertexte"/>
            <w:rFonts w:asciiTheme="minorHAnsi" w:hAnsiTheme="minorHAnsi"/>
            <w:color w:val="5D759B"/>
            <w:sz w:val="28"/>
            <w:bdr w:val="none" w:sz="0" w:space="0" w:color="auto" w:frame="1"/>
          </w:rPr>
          <w:t>U.S. Mission Mali</w:t>
        </w:r>
      </w:hyperlink>
      <w:r w:rsidRPr="006D1094">
        <w:rPr>
          <w:rFonts w:asciiTheme="minorHAnsi" w:hAnsiTheme="minorHAnsi"/>
          <w:color w:val="333333"/>
          <w:sz w:val="28"/>
        </w:rPr>
        <w:t> | 19 février, 2020 | Catégories: </w:t>
      </w:r>
      <w:hyperlink r:id="rId9" w:tooltip="Bourses et échanges" w:history="1">
        <w:r w:rsidRPr="006D1094">
          <w:rPr>
            <w:rStyle w:val="Lienhypertexte"/>
            <w:rFonts w:asciiTheme="minorHAnsi" w:hAnsiTheme="minorHAnsi"/>
            <w:color w:val="5D759B"/>
            <w:sz w:val="28"/>
            <w:bdr w:val="none" w:sz="0" w:space="0" w:color="auto" w:frame="1"/>
          </w:rPr>
          <w:t>Bourses et échanges</w:t>
        </w:r>
      </w:hyperlink>
      <w:r w:rsidRPr="006D1094">
        <w:rPr>
          <w:rFonts w:asciiTheme="minorHAnsi" w:hAnsiTheme="minorHAnsi"/>
          <w:color w:val="333333"/>
          <w:sz w:val="28"/>
        </w:rPr>
        <w:t>, </w:t>
      </w:r>
      <w:hyperlink r:id="rId10" w:tooltip="Éducation" w:history="1">
        <w:r w:rsidRPr="006D1094">
          <w:rPr>
            <w:rStyle w:val="Lienhypertexte"/>
            <w:rFonts w:asciiTheme="minorHAnsi" w:hAnsiTheme="minorHAnsi"/>
            <w:color w:val="5D759B"/>
            <w:sz w:val="28"/>
            <w:bdr w:val="none" w:sz="0" w:space="0" w:color="auto" w:frame="1"/>
          </w:rPr>
          <w:t>Éducation</w:t>
        </w:r>
      </w:hyperlink>
      <w:r w:rsidRPr="006D1094">
        <w:rPr>
          <w:rFonts w:asciiTheme="minorHAnsi" w:hAnsiTheme="minorHAnsi"/>
          <w:color w:val="333333"/>
          <w:sz w:val="28"/>
        </w:rPr>
        <w:t>, </w:t>
      </w:r>
      <w:hyperlink r:id="rId11" w:tooltip="Étudier aux USA" w:history="1">
        <w:r w:rsidRPr="006D1094">
          <w:rPr>
            <w:rStyle w:val="Lienhypertexte"/>
            <w:rFonts w:asciiTheme="minorHAnsi" w:hAnsiTheme="minorHAnsi"/>
            <w:color w:val="5D759B"/>
            <w:sz w:val="28"/>
            <w:bdr w:val="none" w:sz="0" w:space="0" w:color="auto" w:frame="1"/>
          </w:rPr>
          <w:t>Étudier aux USA</w:t>
        </w:r>
      </w:hyperlink>
      <w:r w:rsidRPr="006D1094">
        <w:rPr>
          <w:rFonts w:asciiTheme="minorHAnsi" w:hAnsiTheme="minorHAnsi"/>
          <w:color w:val="333333"/>
          <w:sz w:val="28"/>
        </w:rPr>
        <w:t> | Tags: </w:t>
      </w:r>
      <w:hyperlink r:id="rId12" w:history="1">
        <w:r w:rsidRPr="006D1094">
          <w:rPr>
            <w:rStyle w:val="Lienhypertexte"/>
            <w:rFonts w:asciiTheme="minorHAnsi" w:hAnsiTheme="minorHAnsi"/>
            <w:color w:val="5D759B"/>
            <w:sz w:val="28"/>
            <w:bdr w:val="none" w:sz="0" w:space="0" w:color="auto" w:frame="1"/>
          </w:rPr>
          <w:t>Anglais</w:t>
        </w:r>
      </w:hyperlink>
      <w:r w:rsidRPr="006D1094">
        <w:rPr>
          <w:rFonts w:asciiTheme="minorHAnsi" w:hAnsiTheme="minorHAnsi"/>
          <w:color w:val="333333"/>
          <w:sz w:val="28"/>
        </w:rPr>
        <w:t>, </w:t>
      </w:r>
      <w:hyperlink r:id="rId13" w:history="1">
        <w:r w:rsidRPr="006D1094">
          <w:rPr>
            <w:rStyle w:val="Lienhypertexte"/>
            <w:rFonts w:asciiTheme="minorHAnsi" w:hAnsiTheme="minorHAnsi"/>
            <w:color w:val="5D759B"/>
            <w:sz w:val="28"/>
            <w:bdr w:val="none" w:sz="0" w:space="0" w:color="auto" w:frame="1"/>
          </w:rPr>
          <w:t>Coopération</w:t>
        </w:r>
      </w:hyperlink>
      <w:r w:rsidRPr="006D1094">
        <w:rPr>
          <w:rFonts w:asciiTheme="minorHAnsi" w:hAnsiTheme="minorHAnsi"/>
          <w:color w:val="333333"/>
          <w:sz w:val="28"/>
        </w:rPr>
        <w:t>, </w:t>
      </w:r>
      <w:hyperlink r:id="rId14" w:history="1">
        <w:r w:rsidRPr="006D1094">
          <w:rPr>
            <w:rStyle w:val="Lienhypertexte"/>
            <w:rFonts w:asciiTheme="minorHAnsi" w:hAnsiTheme="minorHAnsi"/>
            <w:color w:val="5D759B"/>
            <w:sz w:val="28"/>
            <w:bdr w:val="none" w:sz="0" w:space="0" w:color="auto" w:frame="1"/>
          </w:rPr>
          <w:t>Education</w:t>
        </w:r>
      </w:hyperlink>
    </w:p>
    <w:p w:rsidR="006D1094" w:rsidRPr="00B97E32" w:rsidRDefault="006D1094">
      <w:pPr>
        <w:rPr>
          <w:sz w:val="28"/>
          <w:szCs w:val="28"/>
        </w:rPr>
      </w:pPr>
    </w:p>
    <w:sectPr w:rsidR="006D1094" w:rsidRPr="00B97E32" w:rsidSect="00B97E32">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8B728A"/>
    <w:multiLevelType w:val="hybridMultilevel"/>
    <w:tmpl w:val="1A381D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E32"/>
    <w:rsid w:val="004F7662"/>
    <w:rsid w:val="0055357D"/>
    <w:rsid w:val="006D1094"/>
    <w:rsid w:val="00B97E32"/>
    <w:rsid w:val="00EF4B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4A6F9A-82DD-44E0-AD8C-5AEF3D609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6D10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next w:val="Normal"/>
    <w:link w:val="Titre3Car"/>
    <w:uiPriority w:val="9"/>
    <w:semiHidden/>
    <w:unhideWhenUsed/>
    <w:qFormat/>
    <w:rsid w:val="006D109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97E3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97E32"/>
    <w:rPr>
      <w:b/>
      <w:bCs/>
    </w:rPr>
  </w:style>
  <w:style w:type="character" w:styleId="Lienhypertexte">
    <w:name w:val="Hyperlink"/>
    <w:basedOn w:val="Policepardfaut"/>
    <w:uiPriority w:val="99"/>
    <w:semiHidden/>
    <w:unhideWhenUsed/>
    <w:rsid w:val="00B97E32"/>
    <w:rPr>
      <w:color w:val="0000FF"/>
      <w:u w:val="single"/>
    </w:rPr>
  </w:style>
  <w:style w:type="character" w:customStyle="1" w:styleId="Titre1Car">
    <w:name w:val="Titre 1 Car"/>
    <w:basedOn w:val="Policepardfaut"/>
    <w:link w:val="Titre1"/>
    <w:uiPriority w:val="9"/>
    <w:rsid w:val="006D1094"/>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semiHidden/>
    <w:rsid w:val="006D1094"/>
    <w:rPr>
      <w:rFonts w:asciiTheme="majorHAnsi" w:eastAsiaTheme="majorEastAsia" w:hAnsiTheme="majorHAnsi" w:cstheme="majorBidi"/>
      <w:color w:val="1F4D78" w:themeColor="accent1" w:themeShade="7F"/>
      <w:sz w:val="24"/>
      <w:szCs w:val="24"/>
    </w:rPr>
  </w:style>
  <w:style w:type="paragraph" w:customStyle="1" w:styleId="byline">
    <w:name w:val="byline"/>
    <w:basedOn w:val="Normal"/>
    <w:rsid w:val="006D109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6617">
      <w:bodyDiv w:val="1"/>
      <w:marLeft w:val="0"/>
      <w:marRight w:val="0"/>
      <w:marTop w:val="0"/>
      <w:marBottom w:val="0"/>
      <w:divBdr>
        <w:top w:val="none" w:sz="0" w:space="0" w:color="auto"/>
        <w:left w:val="none" w:sz="0" w:space="0" w:color="auto"/>
        <w:bottom w:val="none" w:sz="0" w:space="0" w:color="auto"/>
        <w:right w:val="none" w:sz="0" w:space="0" w:color="auto"/>
      </w:divBdr>
    </w:div>
    <w:div w:id="1020231548">
      <w:bodyDiv w:val="1"/>
      <w:marLeft w:val="0"/>
      <w:marRight w:val="0"/>
      <w:marTop w:val="0"/>
      <w:marBottom w:val="0"/>
      <w:divBdr>
        <w:top w:val="none" w:sz="0" w:space="0" w:color="auto"/>
        <w:left w:val="none" w:sz="0" w:space="0" w:color="auto"/>
        <w:bottom w:val="none" w:sz="0" w:space="0" w:color="auto"/>
        <w:right w:val="none" w:sz="0" w:space="0" w:color="auto"/>
      </w:divBdr>
    </w:div>
    <w:div w:id="144876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usembassy.gov/fr/author/mlmission/" TargetMode="External"/><Relationship Id="rId13" Type="http://schemas.openxmlformats.org/officeDocument/2006/relationships/hyperlink" Target="https://ml.usembassy.gov/fr/tag/cooperation/" TargetMode="External"/><Relationship Id="rId3" Type="http://schemas.openxmlformats.org/officeDocument/2006/relationships/settings" Target="settings.xml"/><Relationship Id="rId7" Type="http://schemas.openxmlformats.org/officeDocument/2006/relationships/hyperlink" Target="https://gcc01.safelinks.protection.outlook.com/?url=https%3A%2F%2Fapply.iie.org%2Fffsp2021&amp;data=02%7C01%7Cpoudiougot%40state.gov%7C0a694c80cb184fb7618208d7a412c102%7C66cf50745afe48d1a691a12b2121f44b%7C0%7C0%7C637158272765403449&amp;sdata=k%2FqBA4XhTzCnCW6UHa%2BZHJQ3RaRrz%2B98X%2BW9Jg2QHgg%3D&amp;reserved=0" TargetMode="External"/><Relationship Id="rId12" Type="http://schemas.openxmlformats.org/officeDocument/2006/relationships/hyperlink" Target="https://ml.usembassy.gov/fr/tag/anglai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l.usembassy.gov/wp-content/uploads/sites/28/Cleared-2021-FULBRIGHT-FOREIGN-STUDENT-PROGRAM_English-Announcement-Updated-Jan-2020-1.docx" TargetMode="External"/><Relationship Id="rId11" Type="http://schemas.openxmlformats.org/officeDocument/2006/relationships/hyperlink" Target="https://ml.usembassy.gov/fr/category/etudier-aux-usa/" TargetMode="External"/><Relationship Id="rId5" Type="http://schemas.openxmlformats.org/officeDocument/2006/relationships/hyperlink" Target="https://www.boursedetude.org/login/" TargetMode="External"/><Relationship Id="rId15" Type="http://schemas.openxmlformats.org/officeDocument/2006/relationships/fontTable" Target="fontTable.xml"/><Relationship Id="rId10" Type="http://schemas.openxmlformats.org/officeDocument/2006/relationships/hyperlink" Target="https://ml.usembassy.gov/fr/category/education-fr/" TargetMode="External"/><Relationship Id="rId4" Type="http://schemas.openxmlformats.org/officeDocument/2006/relationships/webSettings" Target="webSettings.xml"/><Relationship Id="rId9" Type="http://schemas.openxmlformats.org/officeDocument/2006/relationships/hyperlink" Target="https://ml.usembassy.gov/fr/category/bourses-et-echanges/" TargetMode="External"/><Relationship Id="rId14" Type="http://schemas.openxmlformats.org/officeDocument/2006/relationships/hyperlink" Target="https://ml.usembassy.gov/fr/tag/educatio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547</Words>
  <Characters>3011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ESSEC</Company>
  <LinksUpToDate>false</LinksUpToDate>
  <CharactersWithSpaces>3551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DUMONT Isabelle - B00013162</dc:creator>
  <cp:keywords/>
  <dc:description/>
  <cp:lastModifiedBy>DUMONT Isabelle - B00013162</cp:lastModifiedBy>
  <cp:revision>2</cp:revision>
  <dcterms:created xsi:type="dcterms:W3CDTF">2020-03-13T09:36:00Z</dcterms:created>
  <dcterms:modified xsi:type="dcterms:W3CDTF">2020-03-13T09:36:00Z</dcterms:modified>
</cp:coreProperties>
</file>